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E89C5" w14:textId="6F7593E7" w:rsidR="00D46562" w:rsidRDefault="00D46562">
      <w:pPr>
        <w:rPr>
          <w:rFonts w:cstheme="minorHAnsi"/>
          <w:b/>
          <w:bCs/>
          <w:sz w:val="32"/>
          <w:szCs w:val="32"/>
          <w:lang w:val="en-US"/>
        </w:rPr>
      </w:pPr>
      <w:r w:rsidRPr="00D46562">
        <w:rPr>
          <w:rFonts w:cstheme="minorHAnsi"/>
          <w:b/>
          <w:bCs/>
          <w:noProof/>
          <w:sz w:val="32"/>
          <w:szCs w:val="32"/>
          <w:lang w:val="en-US" w:eastAsia="zh-CN"/>
        </w:rPr>
        <w:drawing>
          <wp:inline distT="0" distB="0" distL="0" distR="0" wp14:anchorId="47CD3689" wp14:editId="3E0F63D4">
            <wp:extent cx="5857875" cy="1152525"/>
            <wp:effectExtent l="0" t="0" r="9525" b="9525"/>
            <wp:docPr id="1" name="Grafik 1" descr="C:\Users\Public\Documents\Documents\IFLA-ENSULIB\_Admin\ENSULIB Logos\ENSULIB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IFLA-ENSULIB\_Admin\ENSULIB Logos\ENSULIB_sec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875" cy="1152525"/>
                    </a:xfrm>
                    <a:prstGeom prst="rect">
                      <a:avLst/>
                    </a:prstGeom>
                    <a:noFill/>
                    <a:ln>
                      <a:noFill/>
                    </a:ln>
                  </pic:spPr>
                </pic:pic>
              </a:graphicData>
            </a:graphic>
          </wp:inline>
        </w:drawing>
      </w:r>
    </w:p>
    <w:p w14:paraId="286B4DCF" w14:textId="77777777" w:rsidR="00FF5EDE" w:rsidRPr="005510AF" w:rsidRDefault="00FF5EDE">
      <w:pPr>
        <w:rPr>
          <w:rFonts w:cstheme="minorHAnsi"/>
          <w:sz w:val="24"/>
          <w:szCs w:val="24"/>
          <w:lang w:val="en-US"/>
        </w:rPr>
      </w:pPr>
    </w:p>
    <w:p w14:paraId="35F58A77" w14:textId="3154EC20" w:rsidR="00FF5EDE" w:rsidRPr="005510AF" w:rsidRDefault="00FF5EDE">
      <w:pPr>
        <w:rPr>
          <w:rFonts w:cstheme="minorHAnsi"/>
          <w:b/>
          <w:bCs/>
          <w:sz w:val="28"/>
          <w:szCs w:val="28"/>
          <w:lang w:val="en-US"/>
        </w:rPr>
      </w:pPr>
      <w:r w:rsidRPr="005510AF">
        <w:rPr>
          <w:rFonts w:cstheme="minorHAnsi"/>
          <w:b/>
          <w:bCs/>
          <w:sz w:val="28"/>
          <w:szCs w:val="28"/>
          <w:lang w:val="en-US"/>
        </w:rPr>
        <w:t>ENSULIB Annual Report 2019</w:t>
      </w:r>
      <w:r w:rsidR="00D46562">
        <w:rPr>
          <w:rFonts w:cstheme="minorHAnsi"/>
          <w:b/>
          <w:bCs/>
          <w:sz w:val="28"/>
          <w:szCs w:val="28"/>
          <w:lang w:val="en-US"/>
        </w:rPr>
        <w:t>–</w:t>
      </w:r>
      <w:r w:rsidRPr="005510AF">
        <w:rPr>
          <w:rFonts w:cstheme="minorHAnsi"/>
          <w:b/>
          <w:bCs/>
          <w:sz w:val="28"/>
          <w:szCs w:val="28"/>
          <w:lang w:val="en-US"/>
        </w:rPr>
        <w:t>2020</w:t>
      </w:r>
      <w:r w:rsidR="00D46562">
        <w:rPr>
          <w:rFonts w:cstheme="minorHAnsi"/>
          <w:b/>
          <w:bCs/>
          <w:sz w:val="28"/>
          <w:szCs w:val="28"/>
          <w:lang w:val="en-US"/>
        </w:rPr>
        <w:t xml:space="preserve"> / Abstract</w:t>
      </w:r>
    </w:p>
    <w:p w14:paraId="2A3CC4CE" w14:textId="2B36CC37" w:rsidR="00FF5EDE" w:rsidRPr="005510AF" w:rsidRDefault="009259A4" w:rsidP="00FF5EDE">
      <w:pPr>
        <w:rPr>
          <w:rFonts w:cstheme="minorHAnsi"/>
          <w:sz w:val="24"/>
          <w:szCs w:val="24"/>
          <w:lang w:val="en-US"/>
        </w:rPr>
      </w:pPr>
      <w:hyperlink r:id="rId8" w:history="1">
        <w:r w:rsidR="00FF5EDE" w:rsidRPr="00D46562">
          <w:rPr>
            <w:rStyle w:val="Hyperlink"/>
            <w:rFonts w:cstheme="minorHAnsi"/>
            <w:sz w:val="24"/>
            <w:szCs w:val="24"/>
            <w:lang w:val="en-US"/>
          </w:rPr>
          <w:t xml:space="preserve">ENSULIB’s 2019–2020 </w:t>
        </w:r>
        <w:r w:rsidR="00D46562" w:rsidRPr="00D46562">
          <w:rPr>
            <w:rStyle w:val="Hyperlink"/>
            <w:rFonts w:cstheme="minorHAnsi"/>
            <w:sz w:val="24"/>
            <w:szCs w:val="24"/>
            <w:lang w:val="en-US"/>
          </w:rPr>
          <w:t>A</w:t>
        </w:r>
        <w:r w:rsidR="00FF5EDE" w:rsidRPr="00D46562">
          <w:rPr>
            <w:rStyle w:val="Hyperlink"/>
            <w:rFonts w:cstheme="minorHAnsi"/>
            <w:sz w:val="24"/>
            <w:szCs w:val="24"/>
            <w:lang w:val="en-US"/>
          </w:rPr>
          <w:t xml:space="preserve">ction </w:t>
        </w:r>
        <w:r w:rsidR="00D46562" w:rsidRPr="00D46562">
          <w:rPr>
            <w:rStyle w:val="Hyperlink"/>
            <w:rFonts w:cstheme="minorHAnsi"/>
            <w:sz w:val="24"/>
            <w:szCs w:val="24"/>
            <w:lang w:val="en-US"/>
          </w:rPr>
          <w:t>P</w:t>
        </w:r>
        <w:r w:rsidR="00FF5EDE" w:rsidRPr="00D46562">
          <w:rPr>
            <w:rStyle w:val="Hyperlink"/>
            <w:rFonts w:cstheme="minorHAnsi"/>
            <w:sz w:val="24"/>
            <w:szCs w:val="24"/>
            <w:lang w:val="en-US"/>
          </w:rPr>
          <w:t>lan</w:t>
        </w:r>
      </w:hyperlink>
      <w:r w:rsidR="00FF5EDE" w:rsidRPr="005510AF">
        <w:rPr>
          <w:rFonts w:cstheme="minorHAnsi"/>
          <w:sz w:val="24"/>
          <w:szCs w:val="24"/>
          <w:lang w:val="en-US"/>
        </w:rPr>
        <w:t xml:space="preserve"> was based on the general aim that ENSULIB increases its ability to promote environmental awareness: the work we have done should become more effective with visibility increased worldwide. Moreover, the aim was that the discussion of Green and Sustainable Libraries gains momentum and receives much more attention. During 2019</w:t>
      </w:r>
      <w:r w:rsidR="00FF5EDE" w:rsidRPr="005510AF">
        <w:rPr>
          <w:rFonts w:cstheme="minorHAnsi"/>
          <w:b/>
          <w:sz w:val="24"/>
          <w:szCs w:val="24"/>
          <w:lang w:val="en-US"/>
        </w:rPr>
        <w:t>–</w:t>
      </w:r>
      <w:r w:rsidR="00FF5EDE" w:rsidRPr="005510AF">
        <w:rPr>
          <w:rFonts w:cstheme="minorHAnsi"/>
          <w:sz w:val="24"/>
          <w:szCs w:val="24"/>
          <w:lang w:val="en-US"/>
        </w:rPr>
        <w:t xml:space="preserve">2020, the number of involved corresponding members has been growing steadily and now there are </w:t>
      </w:r>
      <w:r w:rsidR="00022E91">
        <w:rPr>
          <w:rFonts w:cstheme="minorHAnsi"/>
          <w:sz w:val="24"/>
          <w:szCs w:val="24"/>
          <w:lang w:val="en-US"/>
        </w:rPr>
        <w:t>61</w:t>
      </w:r>
      <w:r w:rsidR="00022E91" w:rsidRPr="005510AF">
        <w:rPr>
          <w:rFonts w:cstheme="minorHAnsi"/>
          <w:sz w:val="24"/>
          <w:szCs w:val="24"/>
          <w:lang w:val="en-US"/>
        </w:rPr>
        <w:t xml:space="preserve"> </w:t>
      </w:r>
      <w:r w:rsidR="00FF5EDE" w:rsidRPr="005510AF">
        <w:rPr>
          <w:rFonts w:cstheme="minorHAnsi"/>
          <w:sz w:val="24"/>
          <w:szCs w:val="24"/>
          <w:lang w:val="en-US"/>
        </w:rPr>
        <w:t xml:space="preserve">institutions </w:t>
      </w:r>
      <w:r w:rsidR="00022E91">
        <w:rPr>
          <w:rFonts w:cstheme="minorHAnsi"/>
          <w:sz w:val="24"/>
          <w:szCs w:val="24"/>
          <w:lang w:val="en-US"/>
        </w:rPr>
        <w:t xml:space="preserve">plus 4 personal affiliates </w:t>
      </w:r>
      <w:r w:rsidR="00FF5EDE" w:rsidRPr="005510AF">
        <w:rPr>
          <w:rFonts w:cstheme="minorHAnsi"/>
          <w:sz w:val="24"/>
          <w:szCs w:val="24"/>
          <w:lang w:val="en-US"/>
        </w:rPr>
        <w:t xml:space="preserve">which have agreed to support ENSULIB when we become a section (September 2020). The plan is that, by 2021, the </w:t>
      </w:r>
      <w:r w:rsidR="00D46562">
        <w:rPr>
          <w:rFonts w:cstheme="minorHAnsi"/>
          <w:sz w:val="24"/>
          <w:szCs w:val="24"/>
          <w:lang w:val="en-US"/>
        </w:rPr>
        <w:t>Special Interest Group (</w:t>
      </w:r>
      <w:r w:rsidR="00FF5EDE" w:rsidRPr="005510AF">
        <w:rPr>
          <w:rFonts w:cstheme="minorHAnsi"/>
          <w:sz w:val="24"/>
          <w:szCs w:val="24"/>
          <w:lang w:val="en-US"/>
        </w:rPr>
        <w:t>SIG</w:t>
      </w:r>
      <w:r w:rsidR="00D46562">
        <w:rPr>
          <w:rFonts w:cstheme="minorHAnsi"/>
          <w:sz w:val="24"/>
          <w:szCs w:val="24"/>
          <w:lang w:val="en-US"/>
        </w:rPr>
        <w:t>)</w:t>
      </w:r>
      <w:r w:rsidR="00FF5EDE" w:rsidRPr="005510AF">
        <w:rPr>
          <w:rFonts w:cstheme="minorHAnsi"/>
          <w:sz w:val="24"/>
          <w:szCs w:val="24"/>
          <w:lang w:val="en-US"/>
        </w:rPr>
        <w:t xml:space="preserve"> will have grown </w:t>
      </w:r>
      <w:r w:rsidR="00D46562">
        <w:rPr>
          <w:rFonts w:cstheme="minorHAnsi"/>
          <w:sz w:val="24"/>
          <w:szCs w:val="24"/>
          <w:lang w:val="en-US"/>
        </w:rPr>
        <w:t>up to a</w:t>
      </w:r>
      <w:r w:rsidR="00FF5EDE" w:rsidRPr="005510AF">
        <w:rPr>
          <w:rFonts w:cstheme="minorHAnsi"/>
          <w:sz w:val="24"/>
          <w:szCs w:val="24"/>
          <w:lang w:val="en-US"/>
        </w:rPr>
        <w:t xml:space="preserve"> </w:t>
      </w:r>
      <w:r w:rsidR="00D46562">
        <w:rPr>
          <w:rFonts w:cstheme="minorHAnsi"/>
          <w:sz w:val="24"/>
          <w:szCs w:val="24"/>
          <w:lang w:val="en-US"/>
        </w:rPr>
        <w:t>S</w:t>
      </w:r>
      <w:r w:rsidR="00FF5EDE" w:rsidRPr="005510AF">
        <w:rPr>
          <w:rFonts w:cstheme="minorHAnsi"/>
          <w:sz w:val="24"/>
          <w:szCs w:val="24"/>
          <w:lang w:val="en-US"/>
        </w:rPr>
        <w:t>ection, which will amplify the group’s engagement within IFLA.</w:t>
      </w:r>
    </w:p>
    <w:p w14:paraId="364A427B" w14:textId="77777777" w:rsidR="00FF5EDE" w:rsidRPr="005510AF" w:rsidRDefault="00FF5EDE" w:rsidP="00FF5EDE">
      <w:pPr>
        <w:rPr>
          <w:rFonts w:cstheme="minorHAnsi"/>
          <w:sz w:val="24"/>
          <w:szCs w:val="24"/>
          <w:lang w:val="en-US"/>
        </w:rPr>
      </w:pPr>
      <w:r w:rsidRPr="005510AF">
        <w:rPr>
          <w:rFonts w:cstheme="minorHAnsi"/>
          <w:sz w:val="24"/>
          <w:szCs w:val="24"/>
          <w:lang w:val="en-US"/>
        </w:rPr>
        <w:t>Other objectives for ENSULIB 2019–2020 were the following:</w:t>
      </w:r>
    </w:p>
    <w:p w14:paraId="4C441432" w14:textId="247117A3" w:rsidR="00FF5EDE" w:rsidRPr="005510AF" w:rsidRDefault="00FF5EDE" w:rsidP="00FF5EDE">
      <w:pPr>
        <w:rPr>
          <w:rFonts w:cstheme="minorHAnsi"/>
          <w:sz w:val="24"/>
          <w:szCs w:val="24"/>
          <w:lang w:val="en-US"/>
        </w:rPr>
      </w:pPr>
      <w:r w:rsidRPr="005510AF">
        <w:rPr>
          <w:rFonts w:cstheme="minorHAnsi"/>
          <w:sz w:val="24"/>
          <w:szCs w:val="24"/>
          <w:lang w:val="en-US"/>
        </w:rPr>
        <w:t xml:space="preserve">1. Increase the ability to promote environmental awareness: the working of the unit becomes more effective with visibility increased worldwide. This progress helps us contribute </w:t>
      </w:r>
      <w:hyperlink r:id="rId9" w:history="1">
        <w:r w:rsidR="00D46562" w:rsidRPr="00D46562">
          <w:rPr>
            <w:rStyle w:val="Hyperlink"/>
            <w:rFonts w:cstheme="minorHAnsi"/>
            <w:sz w:val="24"/>
            <w:szCs w:val="24"/>
            <w:lang w:val="en-US"/>
          </w:rPr>
          <w:t xml:space="preserve">IFLA </w:t>
        </w:r>
        <w:r w:rsidRPr="00D46562">
          <w:rPr>
            <w:rStyle w:val="Hyperlink"/>
            <w:rFonts w:cstheme="minorHAnsi"/>
            <w:sz w:val="24"/>
            <w:szCs w:val="24"/>
            <w:lang w:val="en-US"/>
          </w:rPr>
          <w:t>Key Initiatives</w:t>
        </w:r>
      </w:hyperlink>
      <w:r w:rsidRPr="005510AF">
        <w:rPr>
          <w:rFonts w:cstheme="minorHAnsi"/>
          <w:sz w:val="24"/>
          <w:szCs w:val="24"/>
          <w:lang w:val="en-US"/>
        </w:rPr>
        <w:t xml:space="preserve"> in the future and promote the United Nations 2030 Agenda for Sustainable Development.</w:t>
      </w:r>
    </w:p>
    <w:p w14:paraId="0617AB48" w14:textId="1A7253F6" w:rsidR="00FF5EDE" w:rsidRPr="005510AF" w:rsidRDefault="00FF5EDE" w:rsidP="00FF5EDE">
      <w:pPr>
        <w:rPr>
          <w:rFonts w:cstheme="minorHAnsi"/>
          <w:bCs/>
          <w:sz w:val="24"/>
          <w:szCs w:val="24"/>
          <w:lang w:val="en-US"/>
        </w:rPr>
      </w:pPr>
      <w:r w:rsidRPr="005510AF">
        <w:rPr>
          <w:rFonts w:cstheme="minorHAnsi"/>
          <w:sz w:val="24"/>
          <w:szCs w:val="24"/>
          <w:lang w:val="en-US"/>
        </w:rPr>
        <w:t>2. The discussion of Green and Sustainable Libraries is gaining momentum and receives more attention. ENSULIB is increasingly promoting libraries' commitment to the implementation of the goals of the United Nations 2030 Agenda</w:t>
      </w:r>
      <w:r w:rsidR="00F810DC" w:rsidRPr="005510AF">
        <w:rPr>
          <w:rFonts w:cstheme="minorHAnsi"/>
          <w:sz w:val="24"/>
          <w:szCs w:val="24"/>
          <w:lang w:val="en-US"/>
        </w:rPr>
        <w:t xml:space="preserve"> and SDGs</w:t>
      </w:r>
      <w:r w:rsidRPr="005510AF">
        <w:rPr>
          <w:rFonts w:cstheme="minorHAnsi"/>
          <w:sz w:val="24"/>
          <w:szCs w:val="24"/>
          <w:lang w:val="en-US"/>
        </w:rPr>
        <w:t xml:space="preserve">. Environmental sustainability is also included in the </w:t>
      </w:r>
      <w:hyperlink r:id="rId10" w:history="1">
        <w:r w:rsidRPr="00F135C4">
          <w:rPr>
            <w:rStyle w:val="Hyperlink"/>
            <w:rFonts w:cstheme="minorHAnsi"/>
            <w:sz w:val="24"/>
            <w:szCs w:val="24"/>
            <w:lang w:val="en-US"/>
          </w:rPr>
          <w:t>IFLA Global Vision</w:t>
        </w:r>
      </w:hyperlink>
      <w:r w:rsidRPr="005510AF">
        <w:rPr>
          <w:rFonts w:cstheme="minorHAnsi"/>
          <w:sz w:val="24"/>
          <w:szCs w:val="24"/>
          <w:lang w:val="en-US"/>
        </w:rPr>
        <w:t>. These two main objectives were planned to be attained by the following actions:</w:t>
      </w:r>
    </w:p>
    <w:p w14:paraId="55129CEE" w14:textId="77777777" w:rsidR="00FF5EDE" w:rsidRPr="005510AF" w:rsidRDefault="00FF5EDE" w:rsidP="00FF5EDE">
      <w:pPr>
        <w:pStyle w:val="ListParagraph"/>
        <w:numPr>
          <w:ilvl w:val="0"/>
          <w:numId w:val="1"/>
        </w:numPr>
        <w:rPr>
          <w:rFonts w:cstheme="minorHAnsi"/>
          <w:b/>
          <w:bCs/>
          <w:sz w:val="24"/>
          <w:szCs w:val="24"/>
          <w:lang w:val="en-US"/>
        </w:rPr>
      </w:pPr>
      <w:r w:rsidRPr="005510AF">
        <w:rPr>
          <w:rFonts w:cstheme="minorHAnsi"/>
          <w:b/>
          <w:bCs/>
          <w:sz w:val="24"/>
          <w:szCs w:val="24"/>
          <w:lang w:val="en-US"/>
        </w:rPr>
        <w:t>ENSULIB’s Open Session in IFLA WLIC 2020, Dublin</w:t>
      </w:r>
    </w:p>
    <w:p w14:paraId="461B4402" w14:textId="6EF1F2A4" w:rsidR="00FF5EDE" w:rsidRPr="005510AF" w:rsidRDefault="00FF5EDE" w:rsidP="00FF5EDE">
      <w:pPr>
        <w:pStyle w:val="ListParagraph"/>
        <w:numPr>
          <w:ilvl w:val="0"/>
          <w:numId w:val="1"/>
        </w:numPr>
        <w:rPr>
          <w:rFonts w:cstheme="minorHAnsi"/>
          <w:b/>
          <w:bCs/>
          <w:sz w:val="24"/>
          <w:szCs w:val="24"/>
          <w:lang w:val="en-US"/>
        </w:rPr>
      </w:pPr>
      <w:r w:rsidRPr="005510AF">
        <w:rPr>
          <w:rFonts w:cstheme="minorHAnsi"/>
          <w:b/>
          <w:bCs/>
          <w:sz w:val="24"/>
          <w:szCs w:val="24"/>
          <w:lang w:val="en-US"/>
        </w:rPr>
        <w:t xml:space="preserve">ENSULIB’s </w:t>
      </w:r>
      <w:r w:rsidR="00F135C4">
        <w:rPr>
          <w:rFonts w:cstheme="minorHAnsi"/>
          <w:b/>
          <w:bCs/>
          <w:sz w:val="24"/>
          <w:szCs w:val="24"/>
          <w:lang w:val="en-US"/>
        </w:rPr>
        <w:t>S</w:t>
      </w:r>
      <w:r w:rsidRPr="005510AF">
        <w:rPr>
          <w:rFonts w:cstheme="minorHAnsi"/>
          <w:b/>
          <w:bCs/>
          <w:sz w:val="24"/>
          <w:szCs w:val="24"/>
          <w:lang w:val="en-US"/>
        </w:rPr>
        <w:t>atellite meeting before IFLA WLIC 2020 in CORK</w:t>
      </w:r>
    </w:p>
    <w:p w14:paraId="1F0CC9A2" w14:textId="77777777" w:rsidR="00FF5EDE" w:rsidRPr="005510AF" w:rsidRDefault="00FF5EDE" w:rsidP="00FF5EDE">
      <w:pPr>
        <w:rPr>
          <w:rFonts w:cstheme="minorHAnsi"/>
          <w:b/>
          <w:sz w:val="24"/>
          <w:szCs w:val="24"/>
          <w:lang w:val="en-US"/>
        </w:rPr>
      </w:pPr>
      <w:r w:rsidRPr="005510AF">
        <w:rPr>
          <w:rFonts w:cstheme="minorHAnsi"/>
          <w:sz w:val="24"/>
          <w:szCs w:val="24"/>
          <w:lang w:val="en-US"/>
        </w:rPr>
        <w:t>Unfortunately, due to the Covid-19 epidemic IFLA WLIC 2020 was cancelled and the satellite or open session could not be arranged.</w:t>
      </w:r>
    </w:p>
    <w:p w14:paraId="48A01B93" w14:textId="3F8D21FE" w:rsidR="00FF5EDE" w:rsidRPr="005510AF" w:rsidRDefault="00FF5EDE" w:rsidP="00F810DC">
      <w:pPr>
        <w:pStyle w:val="ListParagraph"/>
        <w:numPr>
          <w:ilvl w:val="0"/>
          <w:numId w:val="1"/>
        </w:numPr>
        <w:rPr>
          <w:rFonts w:cstheme="minorHAnsi"/>
          <w:b/>
          <w:bCs/>
          <w:sz w:val="24"/>
          <w:szCs w:val="24"/>
          <w:lang w:val="en-US"/>
        </w:rPr>
      </w:pPr>
      <w:r w:rsidRPr="005510AF">
        <w:rPr>
          <w:rFonts w:cstheme="minorHAnsi"/>
          <w:b/>
          <w:bCs/>
          <w:sz w:val="24"/>
          <w:szCs w:val="24"/>
          <w:lang w:val="en-US"/>
        </w:rPr>
        <w:t>IFLA Green Library Award 2020</w:t>
      </w:r>
    </w:p>
    <w:p w14:paraId="3ACD3FAA" w14:textId="5F565AEC" w:rsidR="00CF68D0" w:rsidRDefault="00F810DC" w:rsidP="00E512AC">
      <w:pPr>
        <w:rPr>
          <w:rFonts w:cstheme="minorHAnsi"/>
          <w:sz w:val="24"/>
          <w:szCs w:val="24"/>
          <w:lang w:val="en-US"/>
        </w:rPr>
      </w:pPr>
      <w:r w:rsidRPr="005510AF">
        <w:rPr>
          <w:rFonts w:cstheme="minorHAnsi"/>
          <w:sz w:val="24"/>
          <w:szCs w:val="24"/>
          <w:lang w:val="en-US"/>
        </w:rPr>
        <w:t xml:space="preserve">The aim was that </w:t>
      </w:r>
      <w:r w:rsidR="00F135C4">
        <w:rPr>
          <w:rFonts w:cstheme="minorHAnsi"/>
          <w:sz w:val="24"/>
          <w:szCs w:val="24"/>
          <w:lang w:val="en-US"/>
        </w:rPr>
        <w:t>the</w:t>
      </w:r>
      <w:hyperlink r:id="rId11" w:history="1">
        <w:r w:rsidR="00F135C4" w:rsidRPr="00F135C4">
          <w:rPr>
            <w:rStyle w:val="Hyperlink"/>
            <w:rFonts w:cstheme="minorHAnsi"/>
            <w:sz w:val="24"/>
            <w:szCs w:val="24"/>
            <w:lang w:val="en-US"/>
          </w:rPr>
          <w:t xml:space="preserve"> </w:t>
        </w:r>
        <w:r w:rsidRPr="00F135C4">
          <w:rPr>
            <w:rStyle w:val="Hyperlink"/>
            <w:rFonts w:cstheme="minorHAnsi"/>
            <w:sz w:val="24"/>
            <w:szCs w:val="24"/>
            <w:lang w:val="en-US"/>
          </w:rPr>
          <w:t>IFLA Green Library Award</w:t>
        </w:r>
      </w:hyperlink>
      <w:r w:rsidRPr="005510AF">
        <w:rPr>
          <w:rFonts w:cstheme="minorHAnsi"/>
          <w:sz w:val="24"/>
          <w:szCs w:val="24"/>
          <w:lang w:val="en-US"/>
        </w:rPr>
        <w:t xml:space="preserve"> has established its status and become known to broader audiences.</w:t>
      </w:r>
      <w:r w:rsidR="00E512AC" w:rsidRPr="005510AF">
        <w:rPr>
          <w:rFonts w:cstheme="minorHAnsi"/>
          <w:sz w:val="24"/>
          <w:szCs w:val="24"/>
          <w:lang w:val="en-US"/>
        </w:rPr>
        <w:t xml:space="preserve"> The Call for Submissions was circulated for the fifth year in a row and to our great delight more than 50 submissions were received from all around the world. More 30 LIS professionals stepped up to help with the reviewing process. They were a blend of LIS students, library professionals (from public and academic libraries) and architects as well.</w:t>
      </w:r>
      <w:r w:rsidR="00CF68D0">
        <w:rPr>
          <w:rFonts w:cstheme="minorHAnsi"/>
          <w:sz w:val="24"/>
          <w:szCs w:val="24"/>
          <w:lang w:val="en-US"/>
        </w:rPr>
        <w:t xml:space="preserve"> </w:t>
      </w:r>
      <w:r w:rsidR="00E512AC" w:rsidRPr="005510AF">
        <w:rPr>
          <w:rFonts w:cstheme="minorHAnsi"/>
          <w:sz w:val="24"/>
          <w:szCs w:val="24"/>
          <w:lang w:val="en-US"/>
        </w:rPr>
        <w:t xml:space="preserve">After much deliberation, the </w:t>
      </w:r>
      <w:r w:rsidR="00E512AC" w:rsidRPr="005510AF">
        <w:rPr>
          <w:rFonts w:cstheme="minorHAnsi"/>
          <w:sz w:val="24"/>
          <w:szCs w:val="24"/>
          <w:lang w:val="en-US"/>
        </w:rPr>
        <w:lastRenderedPageBreak/>
        <w:t xml:space="preserve">winner was selected: Thailand, </w:t>
      </w:r>
      <w:proofErr w:type="spellStart"/>
      <w:r w:rsidR="00E512AC" w:rsidRPr="005510AF">
        <w:rPr>
          <w:rFonts w:cstheme="minorHAnsi"/>
          <w:sz w:val="24"/>
          <w:szCs w:val="24"/>
          <w:lang w:val="en-US"/>
        </w:rPr>
        <w:t>Rangsit</w:t>
      </w:r>
      <w:proofErr w:type="spellEnd"/>
      <w:r w:rsidR="00E512AC" w:rsidRPr="005510AF">
        <w:rPr>
          <w:rFonts w:cstheme="minorHAnsi"/>
          <w:sz w:val="24"/>
          <w:szCs w:val="24"/>
          <w:lang w:val="en-US"/>
        </w:rPr>
        <w:t xml:space="preserve"> University Library: “</w:t>
      </w:r>
      <w:proofErr w:type="spellStart"/>
      <w:r w:rsidR="00E512AC" w:rsidRPr="005510AF">
        <w:rPr>
          <w:rFonts w:cstheme="minorHAnsi"/>
          <w:sz w:val="24"/>
          <w:szCs w:val="24"/>
          <w:lang w:val="en-US"/>
        </w:rPr>
        <w:t>Rangsit</w:t>
      </w:r>
      <w:proofErr w:type="spellEnd"/>
      <w:r w:rsidR="00E512AC" w:rsidRPr="005510AF">
        <w:rPr>
          <w:rFonts w:cstheme="minorHAnsi"/>
          <w:sz w:val="24"/>
          <w:szCs w:val="24"/>
          <w:lang w:val="en-US"/>
        </w:rPr>
        <w:t xml:space="preserve"> University Library and Sustainable Environment Management Report”</w:t>
      </w:r>
      <w:r w:rsidR="003A166F">
        <w:rPr>
          <w:rFonts w:cstheme="minorHAnsi"/>
          <w:sz w:val="24"/>
          <w:szCs w:val="24"/>
          <w:lang w:val="en-US"/>
        </w:rPr>
        <w:t xml:space="preserve"> </w:t>
      </w:r>
      <w:bookmarkStart w:id="0" w:name="_GoBack"/>
      <w:bookmarkEnd w:id="0"/>
      <w:proofErr w:type="spellStart"/>
      <w:r w:rsidR="00E512AC" w:rsidRPr="005510AF">
        <w:rPr>
          <w:rFonts w:cstheme="minorHAnsi"/>
          <w:sz w:val="24"/>
          <w:szCs w:val="24"/>
          <w:lang w:val="en-US"/>
        </w:rPr>
        <w:t>Rangsit</w:t>
      </w:r>
      <w:proofErr w:type="spellEnd"/>
      <w:r w:rsidR="00E512AC" w:rsidRPr="005510AF">
        <w:rPr>
          <w:rFonts w:cstheme="minorHAnsi"/>
          <w:sz w:val="24"/>
          <w:szCs w:val="24"/>
          <w:lang w:val="en-US"/>
        </w:rPr>
        <w:t xml:space="preserve"> University Library is a private institution, yet it is accessible to locals, and reaches out to local schools and a prison as well as teachers and students. In terms of educating the community, this library holds activities to enhance a leadership role for environmental sustainable management. They have committed themselves to sustainability</w:t>
      </w:r>
      <w:r w:rsidR="003A166F">
        <w:rPr>
          <w:rFonts w:cstheme="minorHAnsi"/>
          <w:sz w:val="24"/>
          <w:szCs w:val="24"/>
          <w:lang w:val="en-US"/>
        </w:rPr>
        <w:t xml:space="preserve"> </w:t>
      </w:r>
      <w:r w:rsidR="00E512AC" w:rsidRPr="005510AF">
        <w:rPr>
          <w:rFonts w:cstheme="minorHAnsi"/>
          <w:sz w:val="24"/>
          <w:szCs w:val="24"/>
          <w:lang w:val="en-US"/>
        </w:rPr>
        <w:t>goals as a managerial framework, and this shows in their professional, systematic and well-documented approach. Sustainability permeates nearly all of their infrastructure, operations and educational goals in an exceptional way. The library monitors its energy, paper and water usage as well as other activities, thus making it possible to evaluate how well the goals are being met. Unfortunately, the winner could not be presented at that IFLA WLIC 2020 since the conference was canceled.</w:t>
      </w:r>
    </w:p>
    <w:p w14:paraId="59D3A6C2" w14:textId="77777777" w:rsidR="00CF68D0" w:rsidRDefault="00E512AC" w:rsidP="00E512AC">
      <w:pPr>
        <w:rPr>
          <w:rFonts w:cstheme="minorHAnsi"/>
          <w:sz w:val="24"/>
          <w:szCs w:val="24"/>
          <w:lang w:val="en-US"/>
        </w:rPr>
      </w:pPr>
      <w:r w:rsidRPr="005510AF">
        <w:rPr>
          <w:rFonts w:cstheme="minorHAnsi"/>
          <w:sz w:val="24"/>
          <w:szCs w:val="24"/>
          <w:lang w:val="en-US"/>
        </w:rPr>
        <w:t>The five runners up for the award came from China, Croatia, Hungary, Senegal, and Sri Lanka. The wide variety of submissions created a rich experience as well as a mighty challenge for the reviewers. For instance, cool weather countries grapple with warming buildings, while those in hot climates aim to cool them. Submissions addressed different populations, scales of projects and institutional best practices. Through multiple conversations reviewers worked together, pooled their responses and were able to make decisions that celebrates such diversity.</w:t>
      </w:r>
    </w:p>
    <w:p w14:paraId="094F029C" w14:textId="6F1027CC" w:rsidR="00E512AC" w:rsidRPr="007B05FB" w:rsidRDefault="00E512AC" w:rsidP="007B05FB">
      <w:pPr>
        <w:pStyle w:val="ListParagraph"/>
        <w:numPr>
          <w:ilvl w:val="0"/>
          <w:numId w:val="10"/>
        </w:numPr>
        <w:rPr>
          <w:rFonts w:cstheme="minorHAnsi"/>
          <w:sz w:val="24"/>
          <w:szCs w:val="24"/>
          <w:lang w:val="en-US"/>
        </w:rPr>
      </w:pPr>
      <w:r w:rsidRPr="007B05FB">
        <w:rPr>
          <w:rFonts w:cstheme="minorHAnsi"/>
          <w:sz w:val="24"/>
          <w:szCs w:val="24"/>
          <w:lang w:val="en-US"/>
        </w:rPr>
        <w:t>The Runner-ups (in alphabetic order):</w:t>
      </w:r>
    </w:p>
    <w:p w14:paraId="3723C6E1" w14:textId="77777777" w:rsidR="00E512AC" w:rsidRPr="007B05FB" w:rsidRDefault="00E512AC" w:rsidP="00F135C4">
      <w:pPr>
        <w:pStyle w:val="ListParagraph"/>
        <w:numPr>
          <w:ilvl w:val="1"/>
          <w:numId w:val="10"/>
        </w:numPr>
        <w:rPr>
          <w:rFonts w:cstheme="minorHAnsi"/>
          <w:sz w:val="24"/>
          <w:szCs w:val="24"/>
          <w:lang w:val="en-US"/>
        </w:rPr>
      </w:pPr>
      <w:r w:rsidRPr="007B05FB">
        <w:rPr>
          <w:rFonts w:cstheme="minorHAnsi"/>
          <w:sz w:val="24"/>
          <w:szCs w:val="24"/>
          <w:lang w:val="en-US"/>
        </w:rPr>
        <w:t>China, Hangzhou Public Library: “Our Green Mission Defend the City</w:t>
      </w:r>
    </w:p>
    <w:p w14:paraId="72918605" w14:textId="77777777" w:rsidR="00E512AC" w:rsidRPr="007B05FB" w:rsidRDefault="00E512AC" w:rsidP="00F135C4">
      <w:pPr>
        <w:pStyle w:val="ListParagraph"/>
        <w:numPr>
          <w:ilvl w:val="1"/>
          <w:numId w:val="10"/>
        </w:numPr>
        <w:rPr>
          <w:rFonts w:cstheme="minorHAnsi"/>
          <w:sz w:val="24"/>
          <w:szCs w:val="24"/>
          <w:lang w:val="en-US"/>
        </w:rPr>
      </w:pPr>
      <w:r w:rsidRPr="007B05FB">
        <w:rPr>
          <w:rFonts w:cstheme="minorHAnsi"/>
          <w:sz w:val="24"/>
          <w:szCs w:val="24"/>
          <w:lang w:val="en-US"/>
        </w:rPr>
        <w:t>Croatia, Public Library “</w:t>
      </w:r>
      <w:proofErr w:type="spellStart"/>
      <w:r w:rsidRPr="007B05FB">
        <w:rPr>
          <w:rFonts w:cstheme="minorHAnsi"/>
          <w:sz w:val="24"/>
          <w:szCs w:val="24"/>
          <w:lang w:val="en-US"/>
        </w:rPr>
        <w:t>Juraj</w:t>
      </w:r>
      <w:proofErr w:type="spellEnd"/>
      <w:r w:rsidRPr="007B05FB">
        <w:rPr>
          <w:rFonts w:cstheme="minorHAnsi"/>
          <w:sz w:val="24"/>
          <w:szCs w:val="24"/>
          <w:lang w:val="en-US"/>
        </w:rPr>
        <w:t xml:space="preserve"> </w:t>
      </w:r>
      <w:proofErr w:type="spellStart"/>
      <w:r w:rsidRPr="007B05FB">
        <w:rPr>
          <w:rFonts w:cstheme="minorHAnsi"/>
          <w:sz w:val="24"/>
          <w:szCs w:val="24"/>
          <w:lang w:val="en-US"/>
        </w:rPr>
        <w:t>Šižgorić</w:t>
      </w:r>
      <w:proofErr w:type="spellEnd"/>
      <w:r w:rsidRPr="007B05FB">
        <w:rPr>
          <w:rFonts w:cstheme="minorHAnsi"/>
          <w:sz w:val="24"/>
          <w:szCs w:val="24"/>
          <w:lang w:val="en-US"/>
        </w:rPr>
        <w:t xml:space="preserve">”, </w:t>
      </w:r>
      <w:proofErr w:type="spellStart"/>
      <w:r w:rsidRPr="007B05FB">
        <w:rPr>
          <w:rFonts w:cstheme="minorHAnsi"/>
          <w:sz w:val="24"/>
          <w:szCs w:val="24"/>
          <w:lang w:val="en-US"/>
        </w:rPr>
        <w:t>Sibenik</w:t>
      </w:r>
      <w:proofErr w:type="spellEnd"/>
      <w:r w:rsidRPr="007B05FB">
        <w:rPr>
          <w:rFonts w:cstheme="minorHAnsi"/>
          <w:sz w:val="24"/>
          <w:szCs w:val="24"/>
          <w:lang w:val="en-US"/>
        </w:rPr>
        <w:t>: “Project Green Library”</w:t>
      </w:r>
    </w:p>
    <w:p w14:paraId="53CF5751" w14:textId="77777777" w:rsidR="00E512AC" w:rsidRPr="007B05FB" w:rsidRDefault="00E512AC" w:rsidP="00F135C4">
      <w:pPr>
        <w:pStyle w:val="ListParagraph"/>
        <w:numPr>
          <w:ilvl w:val="1"/>
          <w:numId w:val="10"/>
        </w:numPr>
        <w:rPr>
          <w:rFonts w:cstheme="minorHAnsi"/>
          <w:sz w:val="24"/>
          <w:szCs w:val="24"/>
          <w:lang w:val="en-US"/>
        </w:rPr>
      </w:pPr>
      <w:r w:rsidRPr="007B05FB">
        <w:rPr>
          <w:rFonts w:cstheme="minorHAnsi"/>
          <w:sz w:val="24"/>
          <w:szCs w:val="24"/>
          <w:lang w:val="en-US"/>
        </w:rPr>
        <w:t xml:space="preserve">Hungary, </w:t>
      </w:r>
      <w:proofErr w:type="spellStart"/>
      <w:r w:rsidRPr="007B05FB">
        <w:rPr>
          <w:rFonts w:cstheme="minorHAnsi"/>
          <w:sz w:val="24"/>
          <w:szCs w:val="24"/>
          <w:lang w:val="en-US"/>
        </w:rPr>
        <w:t>Ezüsthegy</w:t>
      </w:r>
      <w:proofErr w:type="spellEnd"/>
      <w:r w:rsidRPr="007B05FB">
        <w:rPr>
          <w:rFonts w:cstheme="minorHAnsi"/>
          <w:sz w:val="24"/>
          <w:szCs w:val="24"/>
          <w:lang w:val="en-US"/>
        </w:rPr>
        <w:t xml:space="preserve"> Library, Budapest: “Library in the Garden, Garden in the Library –Green Complexity in the Life of a Public Library”</w:t>
      </w:r>
    </w:p>
    <w:p w14:paraId="54558EAC" w14:textId="77777777" w:rsidR="00E512AC" w:rsidRPr="007B05FB" w:rsidRDefault="00E512AC" w:rsidP="00F135C4">
      <w:pPr>
        <w:pStyle w:val="ListParagraph"/>
        <w:numPr>
          <w:ilvl w:val="1"/>
          <w:numId w:val="10"/>
        </w:numPr>
        <w:rPr>
          <w:rFonts w:cstheme="minorHAnsi"/>
          <w:sz w:val="24"/>
          <w:szCs w:val="24"/>
          <w:lang w:val="en-US"/>
        </w:rPr>
      </w:pPr>
      <w:r w:rsidRPr="007B05FB">
        <w:rPr>
          <w:rFonts w:cstheme="minorHAnsi"/>
          <w:sz w:val="24"/>
          <w:szCs w:val="24"/>
          <w:lang w:val="en-US"/>
        </w:rPr>
        <w:t xml:space="preserve">Senegal, </w:t>
      </w:r>
      <w:proofErr w:type="spellStart"/>
      <w:r w:rsidRPr="007B05FB">
        <w:rPr>
          <w:rFonts w:cstheme="minorHAnsi"/>
          <w:sz w:val="24"/>
          <w:szCs w:val="24"/>
          <w:lang w:val="en-US"/>
        </w:rPr>
        <w:t>Lambaye</w:t>
      </w:r>
      <w:proofErr w:type="spellEnd"/>
      <w:r w:rsidRPr="007B05FB">
        <w:rPr>
          <w:rFonts w:cstheme="minorHAnsi"/>
          <w:sz w:val="24"/>
          <w:szCs w:val="24"/>
          <w:lang w:val="en-US"/>
        </w:rPr>
        <w:t xml:space="preserve"> Learning Center: “An Ecological Learning Center”</w:t>
      </w:r>
    </w:p>
    <w:p w14:paraId="714F4AED" w14:textId="77777777" w:rsidR="00E512AC" w:rsidRPr="007B05FB" w:rsidRDefault="00E512AC" w:rsidP="00F135C4">
      <w:pPr>
        <w:pStyle w:val="ListParagraph"/>
        <w:numPr>
          <w:ilvl w:val="1"/>
          <w:numId w:val="10"/>
        </w:numPr>
        <w:rPr>
          <w:rFonts w:cstheme="minorHAnsi"/>
          <w:sz w:val="24"/>
          <w:szCs w:val="24"/>
          <w:lang w:val="en-US"/>
        </w:rPr>
      </w:pPr>
      <w:r w:rsidRPr="007B05FB">
        <w:rPr>
          <w:rFonts w:cstheme="minorHAnsi"/>
          <w:sz w:val="24"/>
          <w:szCs w:val="24"/>
          <w:lang w:val="en-US"/>
        </w:rPr>
        <w:t xml:space="preserve">Sri Lanka, </w:t>
      </w:r>
      <w:proofErr w:type="spellStart"/>
      <w:r w:rsidRPr="007B05FB">
        <w:rPr>
          <w:rFonts w:cstheme="minorHAnsi"/>
          <w:sz w:val="24"/>
          <w:szCs w:val="24"/>
          <w:lang w:val="en-US"/>
        </w:rPr>
        <w:t>Battaramulla</w:t>
      </w:r>
      <w:proofErr w:type="spellEnd"/>
      <w:r w:rsidRPr="007B05FB">
        <w:rPr>
          <w:rFonts w:cstheme="minorHAnsi"/>
          <w:sz w:val="24"/>
          <w:szCs w:val="24"/>
          <w:lang w:val="en-US"/>
        </w:rPr>
        <w:t>, National Environmental Information Centre: “Protect Environment Through the Information”</w:t>
      </w:r>
    </w:p>
    <w:p w14:paraId="55C37F56" w14:textId="77777777" w:rsidR="00CF68D0" w:rsidRDefault="00E512AC" w:rsidP="00E512AC">
      <w:pPr>
        <w:rPr>
          <w:rFonts w:cstheme="minorHAnsi"/>
          <w:sz w:val="24"/>
          <w:szCs w:val="24"/>
          <w:lang w:val="en-US"/>
        </w:rPr>
      </w:pPr>
      <w:r w:rsidRPr="005510AF">
        <w:rPr>
          <w:rFonts w:cstheme="minorHAnsi"/>
          <w:sz w:val="24"/>
          <w:szCs w:val="24"/>
          <w:lang w:val="en-US"/>
        </w:rPr>
        <w:t xml:space="preserve">More: </w:t>
      </w:r>
      <w:hyperlink r:id="rId12" w:history="1">
        <w:r w:rsidRPr="005510AF">
          <w:rPr>
            <w:rStyle w:val="Hyperlink"/>
            <w:rFonts w:cstheme="minorHAnsi"/>
            <w:sz w:val="24"/>
            <w:szCs w:val="24"/>
            <w:lang w:val="en-US"/>
          </w:rPr>
          <w:t>https://www.ifla.org/node/92963?og=479</w:t>
        </w:r>
      </w:hyperlink>
    </w:p>
    <w:p w14:paraId="3EAC60E0" w14:textId="27B13ED0" w:rsidR="00F810DC" w:rsidRPr="005510AF" w:rsidRDefault="00F810DC" w:rsidP="00F810DC">
      <w:pPr>
        <w:pStyle w:val="ListParagraph"/>
        <w:rPr>
          <w:rFonts w:cstheme="minorHAnsi"/>
          <w:sz w:val="24"/>
          <w:szCs w:val="24"/>
          <w:lang w:val="en-US"/>
        </w:rPr>
      </w:pPr>
    </w:p>
    <w:p w14:paraId="414EBA6F" w14:textId="7168560D" w:rsidR="00FF5EDE" w:rsidRPr="005510AF" w:rsidRDefault="00FF5EDE" w:rsidP="00F810DC">
      <w:pPr>
        <w:pStyle w:val="ListParagraph"/>
        <w:numPr>
          <w:ilvl w:val="0"/>
          <w:numId w:val="1"/>
        </w:numPr>
        <w:rPr>
          <w:rFonts w:cstheme="minorHAnsi"/>
          <w:sz w:val="24"/>
          <w:szCs w:val="24"/>
          <w:lang w:val="en-US"/>
        </w:rPr>
      </w:pPr>
      <w:r w:rsidRPr="005510AF">
        <w:rPr>
          <w:rFonts w:cstheme="minorHAnsi"/>
          <w:b/>
          <w:bCs/>
          <w:sz w:val="24"/>
          <w:szCs w:val="24"/>
          <w:lang w:val="en-US"/>
        </w:rPr>
        <w:t>ENSULIB’s book project</w:t>
      </w:r>
      <w:r w:rsidRPr="005510AF">
        <w:rPr>
          <w:rFonts w:cstheme="minorHAnsi"/>
          <w:sz w:val="24"/>
          <w:szCs w:val="24"/>
          <w:lang w:val="en-US"/>
        </w:rPr>
        <w:t xml:space="preserve">: Going Green: Implementing Sustainable Strategies in Libraries </w:t>
      </w:r>
      <w:proofErr w:type="gramStart"/>
      <w:r w:rsidRPr="005510AF">
        <w:rPr>
          <w:rFonts w:cstheme="minorHAnsi"/>
          <w:sz w:val="24"/>
          <w:szCs w:val="24"/>
          <w:lang w:val="en-US"/>
        </w:rPr>
        <w:t>Around</w:t>
      </w:r>
      <w:proofErr w:type="gramEnd"/>
      <w:r w:rsidRPr="005510AF">
        <w:rPr>
          <w:rFonts w:cstheme="minorHAnsi"/>
          <w:sz w:val="24"/>
          <w:szCs w:val="24"/>
          <w:lang w:val="en-US"/>
        </w:rPr>
        <w:t xml:space="preserve"> the World: Buildings, Management, </w:t>
      </w:r>
      <w:proofErr w:type="spellStart"/>
      <w:r w:rsidRPr="005510AF">
        <w:rPr>
          <w:rFonts w:cstheme="minorHAnsi"/>
          <w:sz w:val="24"/>
          <w:szCs w:val="24"/>
          <w:lang w:val="en-US"/>
        </w:rPr>
        <w:t>Program</w:t>
      </w:r>
      <w:r w:rsidR="007B05FB">
        <w:rPr>
          <w:rFonts w:cstheme="minorHAnsi"/>
          <w:sz w:val="24"/>
          <w:szCs w:val="24"/>
          <w:lang w:val="en-US"/>
        </w:rPr>
        <w:t>me</w:t>
      </w:r>
      <w:r w:rsidRPr="005510AF">
        <w:rPr>
          <w:rFonts w:cstheme="minorHAnsi"/>
          <w:sz w:val="24"/>
          <w:szCs w:val="24"/>
          <w:lang w:val="en-US"/>
        </w:rPr>
        <w:t>s</w:t>
      </w:r>
      <w:proofErr w:type="spellEnd"/>
      <w:r w:rsidRPr="005510AF">
        <w:rPr>
          <w:rFonts w:cstheme="minorHAnsi"/>
          <w:sz w:val="24"/>
          <w:szCs w:val="24"/>
          <w:lang w:val="en-US"/>
        </w:rPr>
        <w:t xml:space="preserve">, and Services. Edited by Petra </w:t>
      </w:r>
      <w:proofErr w:type="spellStart"/>
      <w:r w:rsidRPr="005510AF">
        <w:rPr>
          <w:rFonts w:cstheme="minorHAnsi"/>
          <w:sz w:val="24"/>
          <w:szCs w:val="24"/>
          <w:lang w:val="en-US"/>
        </w:rPr>
        <w:t>Hauke</w:t>
      </w:r>
      <w:proofErr w:type="spellEnd"/>
      <w:r w:rsidRPr="005510AF">
        <w:rPr>
          <w:rFonts w:cstheme="minorHAnsi"/>
          <w:sz w:val="24"/>
          <w:szCs w:val="24"/>
          <w:lang w:val="en-US"/>
        </w:rPr>
        <w:t xml:space="preserve">, </w:t>
      </w:r>
      <w:proofErr w:type="spellStart"/>
      <w:r w:rsidRPr="005510AF">
        <w:rPr>
          <w:rFonts w:cstheme="minorHAnsi"/>
          <w:sz w:val="24"/>
          <w:szCs w:val="24"/>
          <w:lang w:val="en-US"/>
        </w:rPr>
        <w:t>Harri</w:t>
      </w:r>
      <w:proofErr w:type="spellEnd"/>
      <w:r w:rsidRPr="005510AF">
        <w:rPr>
          <w:rFonts w:cstheme="minorHAnsi"/>
          <w:sz w:val="24"/>
          <w:szCs w:val="24"/>
          <w:lang w:val="en-US"/>
        </w:rPr>
        <w:t xml:space="preserve"> </w:t>
      </w:r>
      <w:proofErr w:type="spellStart"/>
      <w:r w:rsidRPr="005510AF">
        <w:rPr>
          <w:rFonts w:cstheme="minorHAnsi"/>
          <w:sz w:val="24"/>
          <w:szCs w:val="24"/>
          <w:lang w:val="en-US"/>
        </w:rPr>
        <w:t>Sahavirta</w:t>
      </w:r>
      <w:proofErr w:type="spellEnd"/>
      <w:r w:rsidRPr="005510AF">
        <w:rPr>
          <w:rFonts w:cstheme="minorHAnsi"/>
          <w:sz w:val="24"/>
          <w:szCs w:val="24"/>
          <w:lang w:val="en-US"/>
        </w:rPr>
        <w:t xml:space="preserve">, and Madeleine </w:t>
      </w:r>
      <w:proofErr w:type="spellStart"/>
      <w:r w:rsidRPr="005510AF">
        <w:rPr>
          <w:rFonts w:cstheme="minorHAnsi"/>
          <w:sz w:val="24"/>
          <w:szCs w:val="24"/>
          <w:lang w:val="en-US"/>
        </w:rPr>
        <w:t>Charney</w:t>
      </w:r>
      <w:proofErr w:type="spellEnd"/>
      <w:r w:rsidRPr="005510AF">
        <w:rPr>
          <w:rFonts w:cstheme="minorHAnsi"/>
          <w:sz w:val="24"/>
          <w:szCs w:val="24"/>
          <w:lang w:val="en-US"/>
        </w:rPr>
        <w:t xml:space="preserve">. Berlin/Boston: De </w:t>
      </w:r>
      <w:proofErr w:type="spellStart"/>
      <w:r w:rsidRPr="005510AF">
        <w:rPr>
          <w:rFonts w:cstheme="minorHAnsi"/>
          <w:sz w:val="24"/>
          <w:szCs w:val="24"/>
          <w:lang w:val="en-US"/>
        </w:rPr>
        <w:t>Gruyter</w:t>
      </w:r>
      <w:proofErr w:type="spellEnd"/>
      <w:r w:rsidRPr="005510AF">
        <w:rPr>
          <w:rFonts w:cstheme="minorHAnsi"/>
          <w:sz w:val="24"/>
          <w:szCs w:val="24"/>
          <w:lang w:val="en-US"/>
        </w:rPr>
        <w:t xml:space="preserve"> Saur, 2018. (IFLA Publications, 177), online availab</w:t>
      </w:r>
      <w:r w:rsidR="007B05FB">
        <w:rPr>
          <w:rFonts w:cstheme="minorHAnsi"/>
          <w:sz w:val="24"/>
          <w:szCs w:val="24"/>
          <w:lang w:val="en-US"/>
        </w:rPr>
        <w:t>ility is provided</w:t>
      </w:r>
      <w:r w:rsidRPr="005510AF">
        <w:rPr>
          <w:rFonts w:cstheme="minorHAnsi"/>
          <w:sz w:val="24"/>
          <w:szCs w:val="24"/>
          <w:lang w:val="en-US"/>
        </w:rPr>
        <w:t>.</w:t>
      </w:r>
    </w:p>
    <w:p w14:paraId="72BBB7E5" w14:textId="77777777" w:rsidR="00E512AC" w:rsidRPr="005510AF" w:rsidRDefault="00E512AC" w:rsidP="00E512AC">
      <w:pPr>
        <w:pStyle w:val="ListParagraph"/>
        <w:rPr>
          <w:rFonts w:cstheme="minorHAnsi"/>
          <w:sz w:val="24"/>
          <w:szCs w:val="24"/>
          <w:lang w:val="en-US"/>
        </w:rPr>
      </w:pPr>
    </w:p>
    <w:p w14:paraId="0452FA9C" w14:textId="57CF7AA6" w:rsidR="00FF5EDE" w:rsidRPr="005510AF" w:rsidRDefault="00FF5EDE" w:rsidP="00E512AC">
      <w:pPr>
        <w:pStyle w:val="ListParagraph"/>
        <w:numPr>
          <w:ilvl w:val="0"/>
          <w:numId w:val="1"/>
        </w:numPr>
        <w:rPr>
          <w:rFonts w:cstheme="minorHAnsi"/>
          <w:b/>
          <w:sz w:val="24"/>
          <w:szCs w:val="24"/>
          <w:lang w:val="en-US"/>
        </w:rPr>
      </w:pPr>
      <w:r w:rsidRPr="005510AF">
        <w:rPr>
          <w:rFonts w:cstheme="minorHAnsi"/>
          <w:b/>
          <w:bCs/>
          <w:sz w:val="24"/>
          <w:szCs w:val="24"/>
          <w:lang w:val="en-US"/>
        </w:rPr>
        <w:t>Contribution to the IFLA Strategic Plan/Key Initiatives:</w:t>
      </w:r>
      <w:r w:rsidRPr="005510AF">
        <w:rPr>
          <w:rFonts w:cstheme="minorHAnsi"/>
          <w:sz w:val="24"/>
          <w:szCs w:val="24"/>
          <w:lang w:val="en-US"/>
        </w:rPr>
        <w:t xml:space="preserve"> </w:t>
      </w:r>
      <w:hyperlink r:id="rId13" w:history="1">
        <w:r w:rsidRPr="00F135C4">
          <w:rPr>
            <w:rStyle w:val="Hyperlink"/>
            <w:rFonts w:cstheme="minorHAnsi"/>
            <w:sz w:val="24"/>
            <w:szCs w:val="24"/>
            <w:lang w:val="en-US"/>
          </w:rPr>
          <w:t>IFLA's strategic directions</w:t>
        </w:r>
      </w:hyperlink>
      <w:r w:rsidRPr="005510AF">
        <w:rPr>
          <w:rFonts w:cstheme="minorHAnsi"/>
          <w:sz w:val="24"/>
          <w:szCs w:val="24"/>
          <w:lang w:val="en-US"/>
        </w:rPr>
        <w:t xml:space="preserve"> for 2016–2021 are: 1. Libraries in Society, 2. Information and Knowledge, 3. Cultural Heritage, 4. Capacity Building. ENSULIB has been targeting all these demands:</w:t>
      </w:r>
    </w:p>
    <w:p w14:paraId="7E64F4AE" w14:textId="5076C657" w:rsidR="00FF5EDE" w:rsidRPr="005510AF" w:rsidRDefault="00FF5EDE" w:rsidP="00E512AC">
      <w:pPr>
        <w:pStyle w:val="ListParagraph"/>
        <w:numPr>
          <w:ilvl w:val="0"/>
          <w:numId w:val="3"/>
        </w:numPr>
        <w:rPr>
          <w:rFonts w:cstheme="minorHAnsi"/>
          <w:b/>
          <w:sz w:val="24"/>
          <w:szCs w:val="24"/>
          <w:lang w:val="en-US"/>
        </w:rPr>
      </w:pPr>
      <w:r w:rsidRPr="005510AF">
        <w:rPr>
          <w:rFonts w:cstheme="minorHAnsi"/>
          <w:sz w:val="24"/>
          <w:szCs w:val="24"/>
          <w:lang w:val="en-US"/>
        </w:rPr>
        <w:t>Fostering green libraries that play an important role in raising awareness in terms of the UN Agenda 2030 Sustainable Development Goals</w:t>
      </w:r>
    </w:p>
    <w:p w14:paraId="020BB864" w14:textId="77777777" w:rsidR="00FF5EDE" w:rsidRPr="005510AF" w:rsidRDefault="00FF5EDE" w:rsidP="00FF5EDE">
      <w:pPr>
        <w:pStyle w:val="ListParagraph"/>
        <w:numPr>
          <w:ilvl w:val="0"/>
          <w:numId w:val="3"/>
        </w:numPr>
        <w:rPr>
          <w:rFonts w:cstheme="minorHAnsi"/>
          <w:b/>
          <w:sz w:val="24"/>
          <w:szCs w:val="24"/>
          <w:lang w:val="en-US"/>
        </w:rPr>
      </w:pPr>
      <w:r w:rsidRPr="005510AF">
        <w:rPr>
          <w:rFonts w:cstheme="minorHAnsi"/>
          <w:sz w:val="24"/>
          <w:szCs w:val="24"/>
          <w:lang w:val="en-US"/>
        </w:rPr>
        <w:lastRenderedPageBreak/>
        <w:t>Disseminating information and creating knowledge on environmental sustainability as one of the major challenges of our time</w:t>
      </w:r>
    </w:p>
    <w:p w14:paraId="16AD8D80" w14:textId="77777777" w:rsidR="00FF5EDE" w:rsidRPr="005510AF" w:rsidRDefault="00FF5EDE" w:rsidP="00FF5EDE">
      <w:pPr>
        <w:pStyle w:val="ListParagraph"/>
        <w:numPr>
          <w:ilvl w:val="0"/>
          <w:numId w:val="3"/>
        </w:numPr>
        <w:rPr>
          <w:rFonts w:cstheme="minorHAnsi"/>
          <w:b/>
          <w:sz w:val="24"/>
          <w:szCs w:val="24"/>
          <w:lang w:val="en-US"/>
        </w:rPr>
      </w:pPr>
      <w:r w:rsidRPr="005510AF">
        <w:rPr>
          <w:rFonts w:cstheme="minorHAnsi"/>
          <w:sz w:val="24"/>
          <w:szCs w:val="24"/>
          <w:lang w:val="en-US"/>
        </w:rPr>
        <w:t>Disseminating information and knowledge about the effect of climate change to cultural heritage objectives</w:t>
      </w:r>
    </w:p>
    <w:p w14:paraId="1B1A31AF" w14:textId="77777777" w:rsidR="00FF5EDE" w:rsidRPr="005510AF" w:rsidRDefault="00FF5EDE" w:rsidP="00FF5EDE">
      <w:pPr>
        <w:pStyle w:val="ListParagraph"/>
        <w:numPr>
          <w:ilvl w:val="0"/>
          <w:numId w:val="3"/>
        </w:numPr>
        <w:rPr>
          <w:rFonts w:cstheme="minorHAnsi"/>
          <w:b/>
          <w:sz w:val="24"/>
          <w:szCs w:val="24"/>
          <w:lang w:val="en-US"/>
        </w:rPr>
      </w:pPr>
      <w:r w:rsidRPr="005510AF">
        <w:rPr>
          <w:rFonts w:cstheme="minorHAnsi"/>
          <w:sz w:val="24"/>
          <w:szCs w:val="24"/>
          <w:lang w:val="en-US"/>
        </w:rPr>
        <w:t>Encouraging libraries to play a role as examples through sustainable buildings and practices, as educators and enablers in promoting sustainability research (</w:t>
      </w:r>
      <w:hyperlink r:id="rId14" w:history="1">
        <w:r w:rsidRPr="005510AF">
          <w:rPr>
            <w:rStyle w:val="Hyperlink"/>
            <w:rFonts w:cstheme="minorHAnsi"/>
            <w:sz w:val="24"/>
            <w:szCs w:val="24"/>
            <w:lang w:val="en-US"/>
          </w:rPr>
          <w:t>https://www.ifla.org/publications/node/81763</w:t>
        </w:r>
      </w:hyperlink>
      <w:r w:rsidRPr="005510AF">
        <w:rPr>
          <w:rFonts w:cstheme="minorHAnsi"/>
          <w:sz w:val="24"/>
          <w:szCs w:val="24"/>
          <w:lang w:val="en-US"/>
        </w:rPr>
        <w:t>).</w:t>
      </w:r>
    </w:p>
    <w:p w14:paraId="2AA5D2A7" w14:textId="73848D7A" w:rsidR="002F29DF" w:rsidRDefault="002F29DF" w:rsidP="00014563">
      <w:pPr>
        <w:rPr>
          <w:rFonts w:cstheme="minorHAnsi"/>
          <w:sz w:val="24"/>
          <w:szCs w:val="24"/>
          <w:lang w:val="en-US"/>
        </w:rPr>
      </w:pPr>
    </w:p>
    <w:sectPr w:rsidR="002F29DF">
      <w:headerReference w:type="default" r:id="rId15"/>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ADC0" w14:textId="77777777" w:rsidR="009259A4" w:rsidRDefault="009259A4" w:rsidP="009B6007">
      <w:pPr>
        <w:spacing w:after="0" w:line="240" w:lineRule="auto"/>
      </w:pPr>
      <w:r>
        <w:separator/>
      </w:r>
    </w:p>
  </w:endnote>
  <w:endnote w:type="continuationSeparator" w:id="0">
    <w:p w14:paraId="3FAA561C" w14:textId="77777777" w:rsidR="009259A4" w:rsidRDefault="009259A4" w:rsidP="009B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5263" w14:textId="77777777" w:rsidR="009259A4" w:rsidRDefault="009259A4" w:rsidP="009B6007">
      <w:pPr>
        <w:spacing w:after="0" w:line="240" w:lineRule="auto"/>
      </w:pPr>
      <w:r>
        <w:separator/>
      </w:r>
    </w:p>
  </w:footnote>
  <w:footnote w:type="continuationSeparator" w:id="0">
    <w:p w14:paraId="3C9977D1" w14:textId="77777777" w:rsidR="009259A4" w:rsidRDefault="009259A4" w:rsidP="009B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D6B4" w14:textId="77777777" w:rsidR="009B6007" w:rsidRDefault="009B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EBE"/>
    <w:multiLevelType w:val="hybridMultilevel"/>
    <w:tmpl w:val="368C25D0"/>
    <w:lvl w:ilvl="0" w:tplc="B002A81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7447BA"/>
    <w:multiLevelType w:val="hybridMultilevel"/>
    <w:tmpl w:val="F97CC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A3408C"/>
    <w:multiLevelType w:val="hybridMultilevel"/>
    <w:tmpl w:val="E222C7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E841247"/>
    <w:multiLevelType w:val="hybridMultilevel"/>
    <w:tmpl w:val="B798D9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0AF3FF6"/>
    <w:multiLevelType w:val="hybridMultilevel"/>
    <w:tmpl w:val="76C2710E"/>
    <w:lvl w:ilvl="0" w:tplc="194AB196">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BF197E"/>
    <w:multiLevelType w:val="hybridMultilevel"/>
    <w:tmpl w:val="4F2A5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076317"/>
    <w:multiLevelType w:val="hybridMultilevel"/>
    <w:tmpl w:val="6B46DD6C"/>
    <w:lvl w:ilvl="0" w:tplc="4B7AF08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3983148"/>
    <w:multiLevelType w:val="hybridMultilevel"/>
    <w:tmpl w:val="B14E8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1E35B2"/>
    <w:multiLevelType w:val="hybridMultilevel"/>
    <w:tmpl w:val="9B7E96E8"/>
    <w:lvl w:ilvl="0" w:tplc="05501F2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B027F8"/>
    <w:multiLevelType w:val="hybridMultilevel"/>
    <w:tmpl w:val="606C8A26"/>
    <w:lvl w:ilvl="0" w:tplc="9DD6B13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8DB4838"/>
    <w:multiLevelType w:val="hybridMultilevel"/>
    <w:tmpl w:val="EF44C5FE"/>
    <w:lvl w:ilvl="0" w:tplc="1F520E6E">
      <w:start w:val="1"/>
      <w:numFmt w:val="lowerLetter"/>
      <w:lvlText w:val="%1)"/>
      <w:lvlJc w:val="left"/>
      <w:pPr>
        <w:ind w:left="1080" w:hanging="360"/>
      </w:pPr>
      <w:rPr>
        <w:rFonts w:asciiTheme="minorHAnsi" w:eastAsiaTheme="minorEastAsia" w:hAnsiTheme="minorHAnsi" w:cstheme="minorBidi"/>
        <w:b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6"/>
  </w:num>
  <w:num w:numId="9">
    <w:abstractNumId w:val="2"/>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DE"/>
    <w:rsid w:val="00014563"/>
    <w:rsid w:val="00022E91"/>
    <w:rsid w:val="00033FFD"/>
    <w:rsid w:val="000F3D17"/>
    <w:rsid w:val="002F29DF"/>
    <w:rsid w:val="003A166F"/>
    <w:rsid w:val="00414621"/>
    <w:rsid w:val="004938B8"/>
    <w:rsid w:val="005510AF"/>
    <w:rsid w:val="006F1ED2"/>
    <w:rsid w:val="00762D3E"/>
    <w:rsid w:val="007B05FB"/>
    <w:rsid w:val="00810054"/>
    <w:rsid w:val="009259A4"/>
    <w:rsid w:val="009712B6"/>
    <w:rsid w:val="009B6007"/>
    <w:rsid w:val="00A03908"/>
    <w:rsid w:val="00AC102A"/>
    <w:rsid w:val="00BD655E"/>
    <w:rsid w:val="00BF08FD"/>
    <w:rsid w:val="00BF2707"/>
    <w:rsid w:val="00C27D46"/>
    <w:rsid w:val="00CF68D0"/>
    <w:rsid w:val="00D46562"/>
    <w:rsid w:val="00DD0920"/>
    <w:rsid w:val="00E512AC"/>
    <w:rsid w:val="00F135C4"/>
    <w:rsid w:val="00F13E12"/>
    <w:rsid w:val="00F810DC"/>
    <w:rsid w:val="00FF5EDE"/>
  </w:rsids>
  <m:mathPr>
    <m:mathFont m:val="Cambria Math"/>
    <m:brkBin m:val="before"/>
    <m:brkBinSub m:val="--"/>
    <m:smallFrac m:val="0"/>
    <m:dispDef/>
    <m:lMargin m:val="0"/>
    <m:rMargin m:val="0"/>
    <m:defJc m:val="centerGroup"/>
    <m:wrapIndent m:val="1440"/>
    <m:intLim m:val="subSup"/>
    <m:naryLim m:val="undOvr"/>
  </m:mathPr>
  <w:themeFontLang w:val="fi-FI" w:eastAsia="zh-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84A1"/>
  <w15:chartTrackingRefBased/>
  <w15:docId w15:val="{0EBC1E49-9CC4-4A65-BA8A-0860A7B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DE"/>
    <w:rPr>
      <w:color w:val="0563C1" w:themeColor="hyperlink"/>
      <w:u w:val="single"/>
    </w:rPr>
  </w:style>
  <w:style w:type="paragraph" w:styleId="ListParagraph">
    <w:name w:val="List Paragraph"/>
    <w:basedOn w:val="Normal"/>
    <w:uiPriority w:val="34"/>
    <w:qFormat/>
    <w:rsid w:val="00FF5EDE"/>
    <w:pPr>
      <w:spacing w:after="200" w:line="276" w:lineRule="auto"/>
      <w:ind w:left="720"/>
      <w:contextualSpacing/>
    </w:pPr>
    <w:rPr>
      <w:rFonts w:eastAsiaTheme="minorEastAsia"/>
      <w:lang w:val="en-AU" w:eastAsia="en-AU"/>
    </w:rPr>
  </w:style>
  <w:style w:type="character" w:customStyle="1" w:styleId="UnresolvedMention">
    <w:name w:val="Unresolved Mention"/>
    <w:basedOn w:val="DefaultParagraphFont"/>
    <w:uiPriority w:val="99"/>
    <w:semiHidden/>
    <w:unhideWhenUsed/>
    <w:rsid w:val="00E512AC"/>
    <w:rPr>
      <w:color w:val="605E5C"/>
      <w:shd w:val="clear" w:color="auto" w:fill="E1DFDD"/>
    </w:rPr>
  </w:style>
  <w:style w:type="paragraph" w:styleId="BalloonText">
    <w:name w:val="Balloon Text"/>
    <w:basedOn w:val="Normal"/>
    <w:link w:val="BalloonTextChar"/>
    <w:uiPriority w:val="99"/>
    <w:semiHidden/>
    <w:unhideWhenUsed/>
    <w:rsid w:val="00414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21"/>
    <w:rPr>
      <w:rFonts w:ascii="Segoe UI" w:hAnsi="Segoe UI" w:cs="Segoe UI"/>
      <w:sz w:val="18"/>
      <w:szCs w:val="18"/>
    </w:rPr>
  </w:style>
  <w:style w:type="character" w:customStyle="1" w:styleId="Hyperlink2">
    <w:name w:val="Hyperlink.2"/>
    <w:basedOn w:val="DefaultParagraphFont"/>
    <w:rsid w:val="00CF68D0"/>
    <w:rPr>
      <w:lang w:val="en-US"/>
    </w:rPr>
  </w:style>
  <w:style w:type="character" w:customStyle="1" w:styleId="Aucun">
    <w:name w:val="Aucun"/>
    <w:rsid w:val="00810054"/>
    <w:rPr>
      <w:lang w:val="en-US"/>
    </w:rPr>
  </w:style>
  <w:style w:type="paragraph" w:styleId="Header">
    <w:name w:val="header"/>
    <w:basedOn w:val="Normal"/>
    <w:link w:val="HeaderChar"/>
    <w:uiPriority w:val="99"/>
    <w:unhideWhenUsed/>
    <w:rsid w:val="009B60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007"/>
  </w:style>
  <w:style w:type="paragraph" w:styleId="Footer">
    <w:name w:val="footer"/>
    <w:basedOn w:val="Normal"/>
    <w:link w:val="FooterChar"/>
    <w:uiPriority w:val="99"/>
    <w:unhideWhenUsed/>
    <w:rsid w:val="009B60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343">
      <w:bodyDiv w:val="1"/>
      <w:marLeft w:val="0"/>
      <w:marRight w:val="0"/>
      <w:marTop w:val="0"/>
      <w:marBottom w:val="0"/>
      <w:divBdr>
        <w:top w:val="none" w:sz="0" w:space="0" w:color="auto"/>
        <w:left w:val="none" w:sz="0" w:space="0" w:color="auto"/>
        <w:bottom w:val="none" w:sz="0" w:space="0" w:color="auto"/>
        <w:right w:val="none" w:sz="0" w:space="0" w:color="auto"/>
      </w:divBdr>
    </w:div>
    <w:div w:id="1612469064">
      <w:bodyDiv w:val="1"/>
      <w:marLeft w:val="0"/>
      <w:marRight w:val="0"/>
      <w:marTop w:val="0"/>
      <w:marBottom w:val="0"/>
      <w:divBdr>
        <w:top w:val="none" w:sz="0" w:space="0" w:color="auto"/>
        <w:left w:val="none" w:sz="0" w:space="0" w:color="auto"/>
        <w:bottom w:val="none" w:sz="0" w:space="0" w:color="auto"/>
        <w:right w:val="none" w:sz="0" w:space="0" w:color="auto"/>
      </w:divBdr>
    </w:div>
    <w:div w:id="2015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files/assets/environmental-sustainability-and-libraries/documents/action_plan_2019_-_2020.docx" TargetMode="External"/><Relationship Id="rId13" Type="http://schemas.openxmlformats.org/officeDocument/2006/relationships/hyperlink" Target="https://www.ifla.org/node/100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fla.org/node/92963?og=4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la.org/node/101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fla.org/globalvision" TargetMode="External"/><Relationship Id="rId4" Type="http://schemas.openxmlformats.org/officeDocument/2006/relationships/webSettings" Target="webSettings.xml"/><Relationship Id="rId9" Type="http://schemas.openxmlformats.org/officeDocument/2006/relationships/hyperlink" Target="https://www.ifla.org/strategy" TargetMode="External"/><Relationship Id="rId14" Type="http://schemas.openxmlformats.org/officeDocument/2006/relationships/hyperlink" Target="https://www.ifla.org/publications/node/8176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6" baseType="variant">
      <vt:variant>
        <vt:lpstr>Titel</vt:lpstr>
      </vt:variant>
      <vt:variant>
        <vt:i4>1</vt:i4>
      </vt:variant>
      <vt:variant>
        <vt:lpstr>Überschriften</vt:lpstr>
      </vt:variant>
      <vt:variant>
        <vt:i4>2</vt:i4>
      </vt:variant>
      <vt:variant>
        <vt:lpstr>Otsikko</vt:lpstr>
      </vt:variant>
      <vt:variant>
        <vt:i4>1</vt:i4>
      </vt:variant>
    </vt:vector>
  </HeadingPairs>
  <TitlesOfParts>
    <vt:vector size="4" baseType="lpstr">
      <vt:lpstr/>
      <vt:lpstr>    Information Coordinator: Farasat Shafi Ullah, Senior Librarian Community Engagem</vt:lpstr>
      <vt:lpstr>    Secretary: Petra Hauke, Visiting Teacher, Berlin School for Library and Informat</vt: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Sahavirta</dc:creator>
  <cp:keywords/>
  <dc:description/>
  <cp:lastModifiedBy>nipun</cp:lastModifiedBy>
  <cp:revision>4</cp:revision>
  <dcterms:created xsi:type="dcterms:W3CDTF">2021-01-21T17:24:00Z</dcterms:created>
  <dcterms:modified xsi:type="dcterms:W3CDTF">2021-01-31T11:28:00Z</dcterms:modified>
</cp:coreProperties>
</file>